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djustRightInd w:val="0"/>
        <w:snapToGrid w:val="0"/>
        <w:spacing w:line="570" w:lineRule="exact"/>
        <w:rPr>
          <w:rFonts w:hAnsi="黑体" w:eastAsia="黑体"/>
          <w:bCs/>
          <w:snapToGrid w:val="0"/>
          <w:kern w:val="0"/>
          <w:sz w:val="32"/>
          <w:szCs w:val="32"/>
        </w:rPr>
      </w:pPr>
      <w:r>
        <w:rPr>
          <w:rFonts w:hAnsi="黑体" w:eastAsia="黑体"/>
          <w:bCs/>
          <w:snapToGrid w:val="0"/>
          <w:kern w:val="0"/>
          <w:sz w:val="32"/>
          <w:szCs w:val="32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/>
          <w:sz w:val="44"/>
          <w:szCs w:val="44"/>
        </w:rPr>
        <w:t>常州市科协20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4年软科学研究课题指南</w:t>
      </w:r>
    </w:p>
    <w:bookmarkEnd w:id="1"/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一、特约课题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spacing w:val="-6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napToGrid w:val="0"/>
          <w:spacing w:val="-6"/>
          <w:kern w:val="0"/>
          <w:sz w:val="32"/>
          <w:szCs w:val="32"/>
        </w:rPr>
        <w:t>常州市聚焦壮大特色产业集群、锻造新质生产力方面的相关研究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bookmarkStart w:id="0" w:name="OLE_LINK1"/>
      <w:r>
        <w:rPr>
          <w:rFonts w:eastAsia="仿宋_GB2312"/>
          <w:sz w:val="32"/>
          <w:szCs w:val="32"/>
        </w:rPr>
        <w:t>常州市</w:t>
      </w:r>
      <w:r>
        <w:rPr>
          <w:rFonts w:eastAsia="仿宋_GB2312"/>
          <w:snapToGrid w:val="0"/>
          <w:spacing w:val="-6"/>
          <w:kern w:val="0"/>
          <w:sz w:val="32"/>
          <w:szCs w:val="32"/>
        </w:rPr>
        <w:t>推进科技创新与产业创新深度融合、</w:t>
      </w:r>
      <w:r>
        <w:rPr>
          <w:rFonts w:eastAsia="仿宋_GB2312"/>
          <w:sz w:val="32"/>
          <w:szCs w:val="32"/>
        </w:rPr>
        <w:t>打造长三角产业科技创新中心的相关研究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3. 常州市培育发展合成生物产业、竞逐新能源万亿产业链</w:t>
      </w:r>
      <w:r>
        <w:rPr>
          <w:rFonts w:eastAsia="仿宋_GB2312"/>
          <w:sz w:val="32"/>
          <w:szCs w:val="32"/>
          <w:shd w:val="clear" w:color="auto" w:fill="FFFFFF"/>
        </w:rPr>
        <w:t>的相关研究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二、重点课题和专项课题的研究方向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 发展战略研究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紧扣“国际化智造名城、长三角中轴枢纽”城市定位，围绕深入实施“532”发展战略、</w:t>
      </w:r>
      <w:r>
        <w:rPr>
          <w:rFonts w:eastAsia="仿宋_GB2312"/>
          <w:sz w:val="32"/>
          <w:szCs w:val="32"/>
          <w:shd w:val="clear" w:color="auto" w:fill="FFFFFF"/>
        </w:rPr>
        <w:t>推进新能源之都、“两湖”创新区建设等发展重点，结合</w:t>
      </w:r>
      <w:r>
        <w:rPr>
          <w:rFonts w:eastAsia="仿宋_GB2312"/>
          <w:sz w:val="32"/>
          <w:szCs w:val="32"/>
        </w:rPr>
        <w:t>万亿之城再出发的部署，就</w:t>
      </w:r>
      <w:r>
        <w:rPr>
          <w:rFonts w:eastAsia="仿宋_GB2312"/>
          <w:sz w:val="32"/>
          <w:szCs w:val="32"/>
          <w:shd w:val="clear" w:color="auto" w:fill="FFFFFF"/>
        </w:rPr>
        <w:t>积极融入长江经济带、长三角一体化发展等战略布</w:t>
      </w:r>
      <w:r>
        <w:rPr>
          <w:rFonts w:eastAsia="仿宋_GB2312"/>
          <w:sz w:val="32"/>
          <w:szCs w:val="32"/>
        </w:rPr>
        <w:t>局；</w:t>
      </w:r>
      <w:r>
        <w:rPr>
          <w:rFonts w:eastAsia="仿宋_GB2312"/>
          <w:sz w:val="32"/>
          <w:szCs w:val="32"/>
          <w:shd w:val="clear" w:color="auto" w:fill="FFFFFF"/>
        </w:rPr>
        <w:t>找准常州发展与国内大循环、国内国际双循环的契合点，当好三大都市圈智能制造“传动轴”；深化科技体制、教育体制、人才体制等改革，优化营商环境和领军型人才建设，打通束缚新质生产力发展的堵点卡点；推动城乡融合发展、绿色低碳发展、产科教深度融合、统筹发展和安全等方面</w:t>
      </w:r>
      <w:r>
        <w:rPr>
          <w:rFonts w:eastAsia="仿宋_GB2312"/>
          <w:sz w:val="32"/>
          <w:szCs w:val="32"/>
        </w:rPr>
        <w:t>开展专题研究。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 产业发展研究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</w:rPr>
      </w:pPr>
      <w:r>
        <w:rPr>
          <w:rFonts w:eastAsia="仿宋_GB2312"/>
          <w:snapToGrid w:val="0"/>
          <w:spacing w:val="-6"/>
          <w:kern w:val="0"/>
          <w:sz w:val="32"/>
          <w:szCs w:val="32"/>
        </w:rPr>
        <w:t>围绕构建以先进制造业为骨干的现代化产业体系，聚焦传统产业焕新、新兴产业壮大、未来产业培育三大任务，紧扣</w:t>
      </w:r>
      <w:r>
        <w:rPr>
          <w:rFonts w:eastAsia="仿宋_GB2312"/>
          <w:sz w:val="32"/>
          <w:szCs w:val="32"/>
        </w:rPr>
        <w:t>“1028”产业布局，推进新能源等国家级战略性新兴产业集群打造，</w:t>
      </w:r>
      <w:r>
        <w:rPr>
          <w:rFonts w:eastAsia="仿宋_GB2312"/>
          <w:snapToGrid w:val="0"/>
          <w:spacing w:val="-6"/>
          <w:kern w:val="0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智能装备、新材料等地标性产业，合成生物、人工智能、第三代半导体、量子科技等重点领域，工业机器人、集成电路、工业和能源互联网等高成长性产业链，开展国内外现状、发展趋势及常州创新发展的研究。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 社会治理研究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</w:t>
      </w:r>
      <w:r>
        <w:rPr>
          <w:rFonts w:eastAsia="仿宋_GB2312"/>
          <w:sz w:val="32"/>
          <w:szCs w:val="32"/>
          <w:shd w:val="clear" w:color="auto" w:fill="FFFFFF"/>
        </w:rPr>
        <w:t>统筹打造“六个常有”民生名片，突出“一老一幼”重点，就</w:t>
      </w:r>
      <w:r>
        <w:rPr>
          <w:rFonts w:eastAsia="仿宋_GB2312"/>
          <w:sz w:val="32"/>
          <w:szCs w:val="32"/>
        </w:rPr>
        <w:t>健全多层次社会保障体系，提升基本公共服务均等化水平，</w:t>
      </w:r>
      <w:r>
        <w:rPr>
          <w:rFonts w:eastAsia="仿宋_GB2312"/>
          <w:sz w:val="32"/>
          <w:szCs w:val="32"/>
          <w:shd w:val="clear" w:color="auto" w:fill="FFFFFF"/>
        </w:rPr>
        <w:t>公共安全体系建设，重点领域风险防范，推进基层</w:t>
      </w:r>
      <w:r>
        <w:rPr>
          <w:rFonts w:eastAsia="仿宋_GB2312"/>
          <w:sz w:val="32"/>
          <w:szCs w:val="32"/>
        </w:rPr>
        <w:t>社会治理体系和治理能力现代化等方面开展专题研究。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4. 其他内容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申报人也可围绕常州建设发展过程中的全局性、战略性问题和常州产业升级中迫切需要研究的其他重大问题，自行选取具体方向申报课题。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/>
    <w:p>
      <w:pPr>
        <w:overflowPunct w:val="0"/>
        <w:autoSpaceDE w:val="0"/>
        <w:autoSpaceDN w:val="0"/>
        <w:spacing w:line="570" w:lineRule="exact"/>
        <w:ind w:firstLine="641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17B7174E"/>
    <w:rsid w:val="17B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2024-03-18T07:16:00Z</dcterms:created>
  <dc:creator>Hannah</dc:creator>
  <cp:lastModifiedBy>Hannah</cp:lastModifiedBy>
  <dcterms:modified xsi:type="dcterms:W3CDTF">2024-03-18T07:16:32Z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614AE451E80B4489A03CCB3956358B03_11</vt:lpwstr>
  </property>
</Properties>
</file>